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78079" w14:textId="382204E7" w:rsidR="00452E34" w:rsidRDefault="00452E34" w:rsidP="003B386C">
      <w:pPr>
        <w:spacing w:after="120" w:line="240" w:lineRule="auto"/>
        <w:jc w:val="center"/>
        <w:rPr>
          <w:b/>
        </w:rPr>
      </w:pPr>
      <w:r>
        <w:rPr>
          <w:b/>
        </w:rPr>
        <w:t>Call for Papers</w:t>
      </w:r>
    </w:p>
    <w:p w14:paraId="00000001" w14:textId="26A17237" w:rsidR="00D239DB" w:rsidRDefault="00853FB0" w:rsidP="003B386C">
      <w:pPr>
        <w:spacing w:after="120" w:line="240" w:lineRule="auto"/>
        <w:jc w:val="center"/>
        <w:rPr>
          <w:b/>
        </w:rPr>
      </w:pPr>
      <w:r>
        <w:rPr>
          <w:b/>
        </w:rPr>
        <w:t>Themed Series of APSIPA Transactions on Signal and Information Processing on</w:t>
      </w:r>
    </w:p>
    <w:p w14:paraId="00000002" w14:textId="77777777" w:rsidR="00D239DB" w:rsidRDefault="00853FB0" w:rsidP="003B386C">
      <w:pPr>
        <w:spacing w:after="120" w:line="240" w:lineRule="auto"/>
        <w:jc w:val="center"/>
        <w:rPr>
          <w:b/>
        </w:rPr>
      </w:pPr>
      <w:r>
        <w:rPr>
          <w:b/>
        </w:rPr>
        <w:t>“AI for Medical Image Analysis”</w:t>
      </w:r>
    </w:p>
    <w:p w14:paraId="0353D09F" w14:textId="77777777" w:rsidR="003B386C" w:rsidRDefault="003B386C" w:rsidP="003B386C">
      <w:pPr>
        <w:spacing w:after="120" w:line="240" w:lineRule="auto"/>
        <w:rPr>
          <w:b/>
        </w:rPr>
      </w:pPr>
    </w:p>
    <w:p w14:paraId="00000003" w14:textId="4FD040D3" w:rsidR="00D239DB" w:rsidRDefault="00853FB0" w:rsidP="003B386C">
      <w:pPr>
        <w:spacing w:after="120" w:line="240" w:lineRule="auto"/>
        <w:rPr>
          <w:b/>
        </w:rPr>
      </w:pPr>
      <w:r>
        <w:rPr>
          <w:b/>
        </w:rPr>
        <w:t>Introduction</w:t>
      </w:r>
    </w:p>
    <w:p w14:paraId="00000004" w14:textId="77777777" w:rsidR="00D239DB" w:rsidRPr="00853FB0" w:rsidRDefault="00853FB0" w:rsidP="00853FB0">
      <w:pPr>
        <w:spacing w:before="240" w:after="240"/>
        <w:jc w:val="both"/>
        <w:rPr>
          <w:sz w:val="20"/>
        </w:rPr>
      </w:pPr>
      <w:r w:rsidRPr="00853FB0">
        <w:rPr>
          <w:sz w:val="20"/>
        </w:rPr>
        <w:t xml:space="preserve">The integration of artificial intelligence (AI) into medical imaging has revolutionized healthcare by enhancing </w:t>
      </w:r>
      <w:r w:rsidRPr="00853FB0">
        <w:rPr>
          <w:sz w:val="20"/>
        </w:rPr>
        <w:t>diagnostic accuracy, optimizing treatment planning, and improving patient outcomes. AI-driven techniques in medical image processing, classification, segmentation, and treatment planning have enabled automated analysis of complex medical data, facilitating</w:t>
      </w:r>
      <w:r w:rsidRPr="00853FB0">
        <w:rPr>
          <w:sz w:val="20"/>
        </w:rPr>
        <w:t xml:space="preserve"> early disease detection and personalized medicine. Despite these advancements, challenges such as data heterogeneity, interpretability, and integration into clinical workflows persist. This themed series aims to gather cutting-edge research and developmen</w:t>
      </w:r>
      <w:r w:rsidRPr="00853FB0">
        <w:rPr>
          <w:sz w:val="20"/>
        </w:rPr>
        <w:t>ts in AI applications for medical imaging, fostering collaboration among researchers, clinicians, and industry professionals to address these challenges and propel the field forward.</w:t>
      </w:r>
    </w:p>
    <w:p w14:paraId="00000005" w14:textId="77777777" w:rsidR="00D239DB" w:rsidRPr="00853FB0" w:rsidRDefault="00853FB0" w:rsidP="00853FB0">
      <w:pPr>
        <w:spacing w:after="120" w:line="240" w:lineRule="auto"/>
        <w:jc w:val="both"/>
        <w:rPr>
          <w:b/>
          <w:sz w:val="20"/>
        </w:rPr>
      </w:pPr>
      <w:r w:rsidRPr="00853FB0">
        <w:rPr>
          <w:b/>
          <w:sz w:val="20"/>
        </w:rPr>
        <w:t>Topics of Interest</w:t>
      </w:r>
    </w:p>
    <w:p w14:paraId="00000006" w14:textId="77777777" w:rsidR="00D239DB" w:rsidRPr="00853FB0" w:rsidRDefault="00853FB0" w:rsidP="00853FB0">
      <w:pPr>
        <w:spacing w:line="240" w:lineRule="auto"/>
        <w:jc w:val="both"/>
        <w:rPr>
          <w:sz w:val="20"/>
        </w:rPr>
      </w:pPr>
      <w:r w:rsidRPr="00853FB0">
        <w:rPr>
          <w:sz w:val="20"/>
        </w:rPr>
        <w:t>We invite researchers to submit original research arti</w:t>
      </w:r>
      <w:r w:rsidRPr="00853FB0">
        <w:rPr>
          <w:sz w:val="20"/>
        </w:rPr>
        <w:t>cles and reviews that address the following topics (but are not limited to):</w:t>
      </w:r>
    </w:p>
    <w:p w14:paraId="00000007" w14:textId="3745B1D2" w:rsidR="00D239DB" w:rsidRPr="00853FB0" w:rsidRDefault="00853FB0" w:rsidP="00853FB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AI algorithms for medical image classification, segmentation, and treatment</w:t>
      </w:r>
      <w:r w:rsidR="003B386C" w:rsidRPr="00853FB0">
        <w:rPr>
          <w:sz w:val="20"/>
        </w:rPr>
        <w:t xml:space="preserve"> </w:t>
      </w:r>
      <w:r w:rsidRPr="00853FB0">
        <w:rPr>
          <w:sz w:val="20"/>
        </w:rPr>
        <w:t>planning</w:t>
      </w:r>
    </w:p>
    <w:p w14:paraId="00000008" w14:textId="05B6D330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Image preprocessing and enhancement methods</w:t>
      </w:r>
    </w:p>
    <w:p w14:paraId="00000009" w14:textId="56098D0E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Image sequence and longitudinal analysis</w:t>
      </w:r>
    </w:p>
    <w:p w14:paraId="0000000A" w14:textId="40AC8194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Multimoda</w:t>
      </w:r>
      <w:r w:rsidRPr="00853FB0">
        <w:rPr>
          <w:sz w:val="20"/>
        </w:rPr>
        <w:t>l image analysis and fusion</w:t>
      </w:r>
    </w:p>
    <w:p w14:paraId="0000000B" w14:textId="039873CE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Interpretable and explainable AI in medical imaging</w:t>
      </w:r>
    </w:p>
    <w:p w14:paraId="0000000C" w14:textId="249DD94E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Foundation models and vision language models for medical images</w:t>
      </w:r>
    </w:p>
    <w:p w14:paraId="0000000D" w14:textId="3622F70A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Data augmentation and synthesis in medical imaging</w:t>
      </w:r>
    </w:p>
    <w:p w14:paraId="0000000E" w14:textId="51FBB680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Federated learning and data privacy in medical image analysis</w:t>
      </w:r>
    </w:p>
    <w:p w14:paraId="0000000F" w14:textId="1C533714" w:rsidR="00D239DB" w:rsidRPr="00853FB0" w:rsidRDefault="00853FB0" w:rsidP="00853FB0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Clinical applications in radiology, pathology, and other medical specialties</w:t>
      </w:r>
    </w:p>
    <w:p w14:paraId="00C687EC" w14:textId="20DF5C6A" w:rsidR="003B386C" w:rsidRPr="00853FB0" w:rsidRDefault="003B386C" w:rsidP="00853FB0">
      <w:pPr>
        <w:pStyle w:val="ListParagraph"/>
        <w:spacing w:after="120" w:line="240" w:lineRule="auto"/>
        <w:jc w:val="both"/>
        <w:rPr>
          <w:sz w:val="20"/>
        </w:rPr>
      </w:pPr>
    </w:p>
    <w:p w14:paraId="00000010" w14:textId="124AB52E" w:rsidR="00D239DB" w:rsidRPr="00853FB0" w:rsidRDefault="00853FB0" w:rsidP="00853FB0">
      <w:pPr>
        <w:spacing w:after="120" w:line="240" w:lineRule="auto"/>
        <w:jc w:val="both"/>
        <w:rPr>
          <w:b/>
          <w:sz w:val="20"/>
        </w:rPr>
      </w:pPr>
      <w:r w:rsidRPr="00853FB0">
        <w:rPr>
          <w:b/>
          <w:sz w:val="20"/>
        </w:rPr>
        <w:t>Submission and Review Process</w:t>
      </w:r>
    </w:p>
    <w:p w14:paraId="43A9F5CB" w14:textId="57686799" w:rsidR="00853FB0" w:rsidRPr="00853FB0" w:rsidRDefault="00853FB0" w:rsidP="00853FB0">
      <w:p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>Each paper submitted to this series will be reviewed using the first-come-first-serve principle. The target of the first round of decision-making i</w:t>
      </w:r>
      <w:r w:rsidRPr="00853FB0">
        <w:rPr>
          <w:sz w:val="20"/>
        </w:rPr>
        <w:t>s 5 weeks, and the period of the first round of revision is 2 weeks. The paper will be accepted between 8-12 weeks (depending on 1 or 2 revisions). Once the submission window has closed, accepted papers ready for publication will be published online. The series will be accompanied by an editorial written by the guest editorial team. If a paper cannot be accepted within the publication window, it will be considered as a regular paper</w:t>
      </w:r>
      <w:r w:rsidRPr="00853FB0">
        <w:rPr>
          <w:sz w:val="20"/>
        </w:rPr>
        <w:t>.</w:t>
      </w:r>
    </w:p>
    <w:p w14:paraId="182820CF" w14:textId="77777777" w:rsidR="00853FB0" w:rsidRPr="00853FB0" w:rsidRDefault="00853FB0" w:rsidP="00853FB0">
      <w:pPr>
        <w:spacing w:after="120" w:line="240" w:lineRule="auto"/>
        <w:jc w:val="both"/>
        <w:rPr>
          <w:sz w:val="20"/>
        </w:rPr>
      </w:pPr>
    </w:p>
    <w:p w14:paraId="00000011" w14:textId="4C8B2D3B" w:rsidR="00D239DB" w:rsidRPr="00853FB0" w:rsidRDefault="00853FB0" w:rsidP="00853FB0">
      <w:p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 xml:space="preserve">If you are interested in paper </w:t>
      </w:r>
      <w:r w:rsidRPr="00853FB0">
        <w:rPr>
          <w:sz w:val="20"/>
        </w:rPr>
        <w:t>submission, please refer to:</w:t>
      </w:r>
    </w:p>
    <w:p w14:paraId="00000012" w14:textId="77777777" w:rsidR="00D239DB" w:rsidRPr="00853FB0" w:rsidRDefault="00853FB0" w:rsidP="00853FB0">
      <w:pPr>
        <w:spacing w:after="120" w:line="240" w:lineRule="auto"/>
        <w:jc w:val="both"/>
        <w:rPr>
          <w:sz w:val="20"/>
        </w:rPr>
      </w:pPr>
      <w:hyperlink r:id="rId5">
        <w:r w:rsidR="00D239DB" w:rsidRPr="00853FB0">
          <w:rPr>
            <w:color w:val="1155CC"/>
            <w:sz w:val="20"/>
            <w:u w:val="single"/>
          </w:rPr>
          <w:t>https://nowpublishers.com/Journal/AuthorInstructions/SIP</w:t>
        </w:r>
      </w:hyperlink>
    </w:p>
    <w:p w14:paraId="69E364B4" w14:textId="567F6A0F" w:rsidR="003B386C" w:rsidRPr="00853FB0" w:rsidRDefault="003B386C" w:rsidP="00853FB0">
      <w:pPr>
        <w:spacing w:after="120" w:line="240" w:lineRule="auto"/>
        <w:jc w:val="both"/>
        <w:rPr>
          <w:b/>
          <w:bCs/>
          <w:sz w:val="20"/>
        </w:rPr>
      </w:pPr>
    </w:p>
    <w:p w14:paraId="00000014" w14:textId="57156420" w:rsidR="00D239DB" w:rsidRPr="00853FB0" w:rsidRDefault="00853FB0" w:rsidP="00853FB0">
      <w:pPr>
        <w:spacing w:after="120" w:line="240" w:lineRule="auto"/>
        <w:jc w:val="both"/>
        <w:rPr>
          <w:b/>
          <w:bCs/>
          <w:sz w:val="20"/>
        </w:rPr>
      </w:pPr>
      <w:r w:rsidRPr="00853FB0">
        <w:rPr>
          <w:b/>
          <w:bCs/>
          <w:sz w:val="20"/>
        </w:rPr>
        <w:t>Important Dates</w:t>
      </w:r>
    </w:p>
    <w:p w14:paraId="00000015" w14:textId="0F66BD7A" w:rsidR="00D239DB" w:rsidRPr="00853FB0" w:rsidRDefault="00853FB0" w:rsidP="00853FB0">
      <w:p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 xml:space="preserve">Submission Window: </w:t>
      </w:r>
      <w:r w:rsidR="003B386C" w:rsidRPr="00853FB0">
        <w:rPr>
          <w:sz w:val="20"/>
        </w:rPr>
        <w:t xml:space="preserve">June </w:t>
      </w:r>
      <w:r w:rsidRPr="00853FB0">
        <w:rPr>
          <w:sz w:val="20"/>
        </w:rPr>
        <w:t>1</w:t>
      </w:r>
      <w:r w:rsidR="003B386C" w:rsidRPr="00853FB0">
        <w:rPr>
          <w:sz w:val="20"/>
        </w:rPr>
        <w:t xml:space="preserve"> </w:t>
      </w:r>
      <w:r w:rsidRPr="00853FB0">
        <w:rPr>
          <w:sz w:val="20"/>
        </w:rPr>
        <w:t xml:space="preserve">to </w:t>
      </w:r>
      <w:r w:rsidR="003B386C" w:rsidRPr="00853FB0">
        <w:rPr>
          <w:sz w:val="20"/>
        </w:rPr>
        <w:t>July</w:t>
      </w:r>
      <w:r w:rsidRPr="00853FB0">
        <w:rPr>
          <w:sz w:val="20"/>
        </w:rPr>
        <w:t xml:space="preserve"> 1, 2025</w:t>
      </w:r>
    </w:p>
    <w:p w14:paraId="33B0CE19" w14:textId="4290EEC8" w:rsidR="00853FB0" w:rsidRDefault="00853FB0" w:rsidP="00853FB0">
      <w:pPr>
        <w:spacing w:after="120" w:line="240" w:lineRule="auto"/>
        <w:jc w:val="both"/>
        <w:rPr>
          <w:sz w:val="20"/>
        </w:rPr>
      </w:pPr>
      <w:r w:rsidRPr="00853FB0">
        <w:rPr>
          <w:sz w:val="20"/>
        </w:rPr>
        <w:t xml:space="preserve">Publication Window: </w:t>
      </w:r>
      <w:r w:rsidR="003B386C" w:rsidRPr="00853FB0">
        <w:rPr>
          <w:sz w:val="20"/>
        </w:rPr>
        <w:t>October</w:t>
      </w:r>
      <w:r w:rsidRPr="00853FB0">
        <w:rPr>
          <w:sz w:val="20"/>
        </w:rPr>
        <w:t xml:space="preserve"> 2025</w:t>
      </w:r>
    </w:p>
    <w:p w14:paraId="4D25547C" w14:textId="2C26ED1E" w:rsidR="00853FB0" w:rsidRDefault="00853FB0" w:rsidP="00853FB0">
      <w:pPr>
        <w:spacing w:after="120" w:line="240" w:lineRule="auto"/>
        <w:jc w:val="both"/>
        <w:rPr>
          <w:sz w:val="20"/>
        </w:rPr>
      </w:pPr>
    </w:p>
    <w:p w14:paraId="6C636A18" w14:textId="77777777" w:rsidR="00853FB0" w:rsidRPr="00853FB0" w:rsidRDefault="00853FB0" w:rsidP="00853FB0">
      <w:pPr>
        <w:spacing w:after="120" w:line="240" w:lineRule="auto"/>
        <w:jc w:val="both"/>
        <w:rPr>
          <w:sz w:val="20"/>
        </w:rPr>
      </w:pPr>
    </w:p>
    <w:p w14:paraId="00000018" w14:textId="3E2BDC57" w:rsidR="00D239DB" w:rsidRPr="00853FB0" w:rsidRDefault="00853FB0" w:rsidP="00853FB0">
      <w:pPr>
        <w:spacing w:before="240" w:after="240"/>
        <w:jc w:val="both"/>
        <w:rPr>
          <w:b/>
          <w:bCs/>
          <w:sz w:val="20"/>
        </w:rPr>
      </w:pPr>
      <w:r w:rsidRPr="00853FB0">
        <w:rPr>
          <w:b/>
          <w:bCs/>
          <w:sz w:val="20"/>
        </w:rPr>
        <w:lastRenderedPageBreak/>
        <w:t>Guest Editorial Team</w:t>
      </w:r>
    </w:p>
    <w:p w14:paraId="00000019" w14:textId="560D6482" w:rsidR="00D239DB" w:rsidRPr="00853FB0" w:rsidRDefault="00853FB0" w:rsidP="00853FB0">
      <w:pPr>
        <w:spacing w:after="120" w:line="240" w:lineRule="auto"/>
        <w:rPr>
          <w:sz w:val="20"/>
        </w:rPr>
      </w:pPr>
      <w:r w:rsidRPr="00853FB0">
        <w:rPr>
          <w:sz w:val="20"/>
        </w:rPr>
        <w:t>Xiaofeng Liu</w:t>
      </w:r>
      <w:r w:rsidR="003B386C" w:rsidRPr="00853FB0">
        <w:rPr>
          <w:sz w:val="20"/>
        </w:rPr>
        <w:t xml:space="preserve"> (Lead)</w:t>
      </w:r>
      <w:r w:rsidRPr="00853FB0">
        <w:rPr>
          <w:sz w:val="20"/>
        </w:rPr>
        <w:t>, Assistant Professor, Yale University, USA (Email: xiaofeng.li</w:t>
      </w:r>
      <w:bookmarkStart w:id="0" w:name="_GoBack"/>
      <w:bookmarkEnd w:id="0"/>
      <w:r w:rsidRPr="00853FB0">
        <w:rPr>
          <w:sz w:val="20"/>
        </w:rPr>
        <w:t>u@yale.edu)</w:t>
      </w:r>
    </w:p>
    <w:p w14:paraId="0000001A" w14:textId="75D43853" w:rsidR="00D239DB" w:rsidRPr="00853FB0" w:rsidRDefault="00853FB0" w:rsidP="00853FB0">
      <w:pPr>
        <w:spacing w:after="120" w:line="240" w:lineRule="auto"/>
        <w:rPr>
          <w:sz w:val="20"/>
        </w:rPr>
      </w:pPr>
      <w:r w:rsidRPr="00853FB0">
        <w:rPr>
          <w:sz w:val="20"/>
        </w:rPr>
        <w:t>Vasileios Magoulianitis, Assistant Professor, University of Southern California, USA (Email: magoulia@usc.edu)</w:t>
      </w:r>
    </w:p>
    <w:p w14:paraId="0000001B" w14:textId="77777777" w:rsidR="00D239DB" w:rsidRPr="00853FB0" w:rsidRDefault="00853FB0" w:rsidP="00853FB0">
      <w:pPr>
        <w:spacing w:after="120" w:line="240" w:lineRule="auto"/>
        <w:rPr>
          <w:sz w:val="20"/>
        </w:rPr>
      </w:pPr>
      <w:proofErr w:type="spellStart"/>
      <w:r w:rsidRPr="00853FB0">
        <w:rPr>
          <w:sz w:val="20"/>
        </w:rPr>
        <w:t>Yongsong</w:t>
      </w:r>
      <w:proofErr w:type="spellEnd"/>
      <w:r w:rsidRPr="00853FB0">
        <w:rPr>
          <w:sz w:val="20"/>
        </w:rPr>
        <w:t xml:space="preserve"> Huang, Assistant Prof</w:t>
      </w:r>
      <w:r w:rsidRPr="00853FB0">
        <w:rPr>
          <w:sz w:val="20"/>
        </w:rPr>
        <w:t>essor, Tohoku University, Japan (Email: huang.yongsong.r1@dc.tohoku.ac.jp)</w:t>
      </w:r>
    </w:p>
    <w:p w14:paraId="0000001C" w14:textId="77777777" w:rsidR="00D239DB" w:rsidRPr="00853FB0" w:rsidRDefault="00853FB0" w:rsidP="00853FB0">
      <w:pPr>
        <w:spacing w:after="120" w:line="240" w:lineRule="auto"/>
        <w:rPr>
          <w:sz w:val="20"/>
        </w:rPr>
      </w:pPr>
      <w:proofErr w:type="spellStart"/>
      <w:r w:rsidRPr="00853FB0">
        <w:rPr>
          <w:sz w:val="20"/>
        </w:rPr>
        <w:t>Jonghye</w:t>
      </w:r>
      <w:proofErr w:type="spellEnd"/>
      <w:r w:rsidRPr="00853FB0">
        <w:rPr>
          <w:sz w:val="20"/>
        </w:rPr>
        <w:t xml:space="preserve"> Woo, Associate Professor, Massachusetts General Hospital and Harvard Medical School, USA (Email: jwoo@mgh.harvard.edu)</w:t>
      </w:r>
    </w:p>
    <w:p w14:paraId="0000001D" w14:textId="77777777" w:rsidR="00D239DB" w:rsidRPr="00853FB0" w:rsidRDefault="00853FB0" w:rsidP="00853FB0">
      <w:pPr>
        <w:spacing w:before="240" w:after="240"/>
        <w:rPr>
          <w:sz w:val="20"/>
        </w:rPr>
      </w:pPr>
      <w:r w:rsidRPr="00853FB0">
        <w:rPr>
          <w:sz w:val="20"/>
        </w:rPr>
        <w:t xml:space="preserve">If you have any further questions, please contact </w:t>
      </w:r>
      <w:hyperlink r:id="rId6">
        <w:r w:rsidR="00D239DB" w:rsidRPr="00853FB0">
          <w:rPr>
            <w:color w:val="1155CC"/>
            <w:sz w:val="20"/>
            <w:u w:val="single"/>
          </w:rPr>
          <w:t>xiaofeng.liu@yale.edu</w:t>
        </w:r>
      </w:hyperlink>
    </w:p>
    <w:p w14:paraId="0000001E" w14:textId="77777777" w:rsidR="00D239DB" w:rsidRDefault="00D239DB" w:rsidP="00853FB0">
      <w:pPr>
        <w:spacing w:before="240" w:after="240"/>
        <w:jc w:val="both"/>
      </w:pPr>
    </w:p>
    <w:p w14:paraId="0000002B" w14:textId="77777777" w:rsidR="00D239DB" w:rsidRDefault="00D239DB" w:rsidP="00853FB0">
      <w:pPr>
        <w:jc w:val="both"/>
        <w:rPr>
          <w:sz w:val="24"/>
          <w:szCs w:val="24"/>
        </w:rPr>
      </w:pPr>
    </w:p>
    <w:p w14:paraId="0000002C" w14:textId="77777777" w:rsidR="00D239DB" w:rsidRDefault="00D239DB" w:rsidP="00853FB0">
      <w:pPr>
        <w:jc w:val="both"/>
        <w:rPr>
          <w:sz w:val="24"/>
          <w:szCs w:val="24"/>
        </w:rPr>
      </w:pPr>
    </w:p>
    <w:p w14:paraId="0000002D" w14:textId="77777777" w:rsidR="00D239DB" w:rsidRDefault="00D239DB" w:rsidP="00853FB0">
      <w:pPr>
        <w:spacing w:before="240" w:after="240"/>
        <w:jc w:val="both"/>
      </w:pPr>
    </w:p>
    <w:p w14:paraId="0000002E" w14:textId="77777777" w:rsidR="00D239DB" w:rsidRDefault="00D239DB" w:rsidP="00853FB0">
      <w:pPr>
        <w:spacing w:before="240" w:after="240"/>
        <w:jc w:val="both"/>
      </w:pPr>
    </w:p>
    <w:p w14:paraId="0000002F" w14:textId="77777777" w:rsidR="00D239DB" w:rsidRDefault="00D239DB">
      <w:pPr>
        <w:spacing w:before="240" w:after="240"/>
      </w:pPr>
    </w:p>
    <w:p w14:paraId="00000030" w14:textId="77777777" w:rsidR="00D239DB" w:rsidRDefault="00D239DB"/>
    <w:sectPr w:rsidR="00D239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3F20"/>
    <w:multiLevelType w:val="multilevel"/>
    <w:tmpl w:val="D55E3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AE355E"/>
    <w:multiLevelType w:val="hybridMultilevel"/>
    <w:tmpl w:val="0E2A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9E0"/>
    <w:multiLevelType w:val="hybridMultilevel"/>
    <w:tmpl w:val="AC5CCC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37FA4"/>
    <w:multiLevelType w:val="hybridMultilevel"/>
    <w:tmpl w:val="EB36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CEA7E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DB"/>
    <w:rsid w:val="003951C2"/>
    <w:rsid w:val="003B386C"/>
    <w:rsid w:val="00452E34"/>
    <w:rsid w:val="00562769"/>
    <w:rsid w:val="00853FB0"/>
    <w:rsid w:val="00BF7A04"/>
    <w:rsid w:val="00D239DB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A03B"/>
  <w15:docId w15:val="{47E0CBE9-223C-7440-8878-2D241D0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B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aofeng.liu@yale.edu" TargetMode="External"/><Relationship Id="rId5" Type="http://schemas.openxmlformats.org/officeDocument/2006/relationships/hyperlink" Target="https://nowpublishers.com/Journal/AuthorInstructions/S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A. Wiseman</cp:lastModifiedBy>
  <cp:revision>6</cp:revision>
  <dcterms:created xsi:type="dcterms:W3CDTF">2025-03-23T13:35:00Z</dcterms:created>
  <dcterms:modified xsi:type="dcterms:W3CDTF">2025-03-26T08:36:00Z</dcterms:modified>
</cp:coreProperties>
</file>